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D0281">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pPr>
      <w:bookmarkStart w:id="0" w:name="OLE_LINK3"/>
      <w:bookmarkStart w:id="1" w:name="OLE_LINK1"/>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重庆垫江泰泽城市运营管理有限公司</w:t>
      </w:r>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br w:type="textWrapping"/>
      </w:r>
      <w:bookmarkStart w:id="2" w:name="OLE_LINK11"/>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关于</w:t>
      </w:r>
      <w:bookmarkStart w:id="3" w:name="OLE_LINK30"/>
      <w:bookmarkStart w:id="4" w:name="OLE_LINK44"/>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三合苑二区项目物业</w:t>
      </w:r>
      <w:bookmarkEnd w:id="3"/>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租赁资产公开</w:t>
      </w:r>
      <w:bookmarkEnd w:id="4"/>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招租公告</w:t>
      </w:r>
    </w:p>
    <w:bookmarkEnd w:id="2"/>
    <w:p w14:paraId="58C21D93">
      <w:pPr>
        <w:keepNext w:val="0"/>
        <w:keepLines w:val="0"/>
        <w:pageBreakBefore w:val="0"/>
        <w:widowControl w:val="0"/>
        <w:kinsoku/>
        <w:wordWrap/>
        <w:overflowPunct/>
        <w:topLinePunct w:val="0"/>
        <w:autoSpaceDE/>
        <w:autoSpaceDN/>
        <w:bidi w:val="0"/>
        <w:adjustRightInd/>
        <w:snapToGrid/>
        <w:spacing w:line="594" w:lineRule="exact"/>
        <w:ind w:firstLine="3520" w:firstLineChars="800"/>
        <w:jc w:val="left"/>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br w:type="textWrapping"/>
      </w:r>
      <w:r>
        <w:rPr>
          <w:rFonts w:hint="eastAsia" w:ascii="方正小标宋_GBK" w:hAnsi="方正小标宋_GBK" w:eastAsia="方正小标宋_GBK" w:cs="方正小标宋_GBK"/>
          <w:b w:val="0"/>
          <w:bCs/>
          <w:i w:val="0"/>
          <w:caps w:val="0"/>
          <w:color w:val="000000"/>
          <w:spacing w:val="0"/>
          <w:kern w:val="0"/>
          <w:sz w:val="44"/>
          <w:szCs w:val="44"/>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为确保国有资产保值增值，提高资产资源的综合利用率，受产权单位委托，按照“公开、公平、竞争”的原则，现对重庆垫江泰泽城市运营管理有限公司</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管理的三合苑二区</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物业资产进行公开招租，具体事项公告如下：</w:t>
      </w:r>
    </w:p>
    <w:p w14:paraId="051B691E">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一、项目概况</w:t>
      </w:r>
    </w:p>
    <w:p w14:paraId="750BE02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（一）三合苑二期</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位于垫江县桂溪街道桂阳路66号，包含</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住宅232</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套，居住人口约</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0.2</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万人，商业总面积为</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2383.58</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平方米。项目毗邻</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红星美凯龙</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重庆剑桥医院</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等物业，周边50米范围内设有公交站点，交通十分便利。</w:t>
      </w:r>
    </w:p>
    <w:p w14:paraId="30464B4C">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二、招租范围及条件</w:t>
      </w:r>
    </w:p>
    <w:p w14:paraId="164495F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（一）</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本次招租范围垫江县桂溪街道桂阳路66号</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（三合苑二期二层）</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商业资产。</w:t>
      </w:r>
    </w:p>
    <w:p w14:paraId="57F728BF">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（二）</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具体招租条件详见</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附件1</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，意向承租人拟经营业态须符合公司规定的经营范围。</w:t>
      </w:r>
    </w:p>
    <w:p w14:paraId="3DBF96E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三、招租对象</w:t>
      </w:r>
    </w:p>
    <w:p w14:paraId="66377378">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招租对象为法人或具有完全民事行为能力的自然人，且未被法院列入失信被执行人名单，未被重庆垫江泰泽城市运营管理有限公司列入黑名单。</w:t>
      </w:r>
    </w:p>
    <w:p w14:paraId="36E43C4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四、空置房屋资产招租公示及报名登记</w:t>
      </w:r>
    </w:p>
    <w:p w14:paraId="266F4DB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空置房屋</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资产的招租公示期为</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个工作日，自202</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03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25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日至202</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03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28</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日。公示期间，意向承租人可在工作日内进行报名登记。首次报名登记截止时间为202</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03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28</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日1</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8</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:00。若公示期内未征集到意向承租人，则在不变更挂牌条件的前提下，按照</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个工作日为周期，继续接受报名，直至征集到意向承租人为止。</w:t>
      </w:r>
    </w:p>
    <w:p w14:paraId="375551D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（一）</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报名登记结束后，若仅有一个意向承租人，公司将以不低于挂牌底价作为成交价。若有两家及以上符合条件的意向承租人，则采取现场竞价方式确定承租人。竞租报价金额以100元的整数为单位进行一次性报价，若出现相同报价，则进行第二轮报价，第二轮报价须高于第一轮报价。最终以最高有效报价确定承租人，成交价即为竞租报价。若未征集到意向承租人，继续按</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3</w:t>
      </w:r>
      <w:bookmarkStart w:id="9" w:name="_GoBack"/>
      <w:bookmarkEnd w:id="9"/>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个工作日为周期接受报名。 </w:t>
      </w:r>
    </w:p>
    <w:p w14:paraId="12049569">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（二）</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报名登记的具体情况可向项目运营中心工作人员咨询。</w:t>
      </w:r>
    </w:p>
    <w:p w14:paraId="1E1C107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五、报名登记方式</w:t>
      </w:r>
    </w:p>
    <w:p w14:paraId="2178FBE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（一）</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意向承租人须在公示期内前往拟租赁商业资产所属项目的营销中心办公室进行报名登记，并按照附件规定缴纳竞租保证金至指定账户（须在挂牌截止日18:00前到账）。报名时须签署《竞租申请承诺书》。若委托他人办理，需提供加盖鲜章的《授权委托书》和委托人签订《授权委托书》的现场照片。 </w:t>
      </w:r>
    </w:p>
    <w:p w14:paraId="0C06C70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（二）</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更多详情可前往营销中心办公室咨询，或访问渝垫集团公司官网（https://www.cqydgz.com/）及微信公众号“泰泽运营”查看。</w:t>
      </w:r>
    </w:p>
    <w:p w14:paraId="307C5179">
      <w:pPr>
        <w:keepNext w:val="0"/>
        <w:keepLines w:val="0"/>
        <w:pageBreakBefore w:val="0"/>
        <w:widowControl w:val="0"/>
        <w:kinsoku/>
        <w:wordWrap/>
        <w:overflowPunct/>
        <w:topLinePunct w:val="0"/>
        <w:autoSpaceDE/>
        <w:autoSpaceDN/>
        <w:bidi w:val="0"/>
        <w:adjustRightInd/>
        <w:snapToGrid/>
        <w:spacing w:line="594" w:lineRule="exact"/>
        <w:ind w:left="638" w:leftChars="304" w:firstLine="0" w:firstLineChars="0"/>
        <w:jc w:val="both"/>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营销中心联系方式：</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电话：023-74639909</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联系人：何老师：13896736098 刘老师：1770239705</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7</w:t>
      </w:r>
    </w:p>
    <w:p w14:paraId="12BCFD9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1598" w:leftChars="304" w:hanging="960" w:hangingChars="3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地址：重庆市垫江县桂阳街道桂西大道南二段2号金融</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科技大厦一楼（营销中心）</w:t>
      </w:r>
    </w:p>
    <w:p w14:paraId="059ED722">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pPr>
      <w:r>
        <w:rPr>
          <w:rFonts w:hint="eastAsia" w:ascii="方正黑体_GBK" w:hAnsi="方正黑体_GBK" w:eastAsia="方正黑体_GBK" w:cs="方正黑体_GBK"/>
          <w:b w:val="0"/>
          <w:bCs/>
          <w:i w:val="0"/>
          <w:caps w:val="0"/>
          <w:color w:val="000000"/>
          <w:spacing w:val="0"/>
          <w:kern w:val="0"/>
          <w:sz w:val="32"/>
          <w:szCs w:val="32"/>
          <w:shd w:val="clear" w:fill="FFFFFF"/>
          <w:lang w:val="en-US" w:eastAsia="zh-CN" w:bidi="ar"/>
        </w:rPr>
        <w:t>六、租赁须知</w:t>
      </w:r>
    </w:p>
    <w:p w14:paraId="4B27567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（一）</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在租商业资产通过公开竞价方式招租，原承租人在同等条件下享有优先租赁权。 </w:t>
      </w:r>
    </w:p>
    <w:p w14:paraId="5FBC7005">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（二）</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若意向承租人被法院列入失信被执行人名单，或被公司列入黑名单，公司有权取消其报名资格。 </w:t>
      </w:r>
    </w:p>
    <w:p w14:paraId="671B6534">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（三）</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招租物业按现状租赁，意向承租人在报名前应充分了解物业结构、设施设备及周边配套环境等情况，进行充分的风险评估。若现状物业已租赁，竞价成功者须在合同到期后方可使用，公司将以实际交付日为租赁起始时间。 </w:t>
      </w:r>
    </w:p>
    <w:p w14:paraId="51F99D47">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（四）</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请各意向承租人在报名时了解物业租赁相关要求及费用，避免不必要的经营纠纷。 </w:t>
      </w:r>
    </w:p>
    <w:p w14:paraId="0546C88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（五）</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意向承租人须通过公司指定的报名渠道进行登记，避免上当受骗。 </w:t>
      </w:r>
    </w:p>
    <w:p w14:paraId="7DBA13F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（六）</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为保证各位意向承租人的合法权利，若非出租人原因，</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若意向承租人（承租人）出现以下情形，导致交易无法推进或影响交易秩序，所缴纳的竞租保证金将不予退还：</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（1）交纳保证金后未参与后续交易的；</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（2）在竞价过程中</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各意向承租人未进行有效报价的</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（3）</w:t>
      </w:r>
      <w:r>
        <w:rPr>
          <w:rFonts w:hint="eastAsia" w:ascii="方正仿宋_GBK" w:hAnsi="方正仿宋_GBK" w:eastAsia="方正仿宋_GBK" w:cs="方正仿宋_GBK"/>
          <w:i w:val="0"/>
          <w:caps w:val="0"/>
          <w:color w:val="000000"/>
          <w:spacing w:val="0"/>
          <w:kern w:val="0"/>
          <w:sz w:val="32"/>
          <w:szCs w:val="32"/>
          <w:shd w:val="clear" w:color="auto" w:fill="FFFFFF"/>
          <w:lang w:val="en-US" w:eastAsia="zh-CN" w:bidi="ar"/>
        </w:rPr>
        <w:t>在被确定为承租人后，未按约定时限与出租人签订租赁合同或未按合同约定足额支付租赁价款的；</w:t>
      </w:r>
    </w:p>
    <w:p w14:paraId="72562452">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（4）意向承租人之间相互串通，影响公平竞争的；</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（5）其他无故不参与竞租或放弃承租的行为；</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br w:type="textWrapping"/>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（6）公告或附件中约定的其他情形。确定承租人后，其竞租保证金将转为租赁保证金，其他意向承租人的保证金将在15个工作日内原路径全额返还。 </w:t>
      </w:r>
    </w:p>
    <w:p w14:paraId="478B40F1">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（七）</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本次公告的最终解释权归重庆垫江泰泽城市运营管理有限公司所有。</w:t>
      </w:r>
    </w:p>
    <w:p w14:paraId="79BAD089">
      <w:pPr>
        <w:numPr>
          <w:ilvl w:val="0"/>
          <w:numId w:val="0"/>
        </w:numP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附件：</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附件一：空置商业资产招租一览表</w:t>
      </w:r>
    </w:p>
    <w:p w14:paraId="692DF89F">
      <w:pPr>
        <w:keepNext w:val="0"/>
        <w:keepLines w:val="0"/>
        <w:pageBreakBefore w:val="0"/>
        <w:widowControl w:val="0"/>
        <w:kinsoku/>
        <w:wordWrap/>
        <w:overflowPunct/>
        <w:topLinePunct w:val="0"/>
        <w:autoSpaceDE/>
        <w:autoSpaceDN/>
        <w:bidi w:val="0"/>
        <w:adjustRightInd/>
        <w:snapToGrid/>
        <w:spacing w:line="594" w:lineRule="exact"/>
        <w:ind w:firstLine="2880" w:firstLineChars="900"/>
        <w:jc w:val="both"/>
        <w:textAlignment w:val="auto"/>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重庆垫江泰泽城市运营管理有限公司</w:t>
      </w:r>
    </w:p>
    <w:p w14:paraId="1B0AACA4">
      <w:pP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pP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 xml:space="preserve">                           </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202</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年</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03</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月</w:t>
      </w:r>
      <w:r>
        <w:rPr>
          <w:rFonts w:hint="eastAsia" w:ascii="方正仿宋_GBK" w:hAnsi="方正仿宋_GBK" w:eastAsia="方正仿宋_GBK" w:cs="方正仿宋_GBK"/>
          <w:b w:val="0"/>
          <w:bCs/>
          <w:i w:val="0"/>
          <w:caps w:val="0"/>
          <w:color w:val="000000"/>
          <w:spacing w:val="0"/>
          <w:kern w:val="0"/>
          <w:sz w:val="32"/>
          <w:szCs w:val="32"/>
          <w:shd w:val="clear" w:fill="FFFFFF"/>
          <w:lang w:val="en-US" w:eastAsia="zh-CN" w:bidi="ar"/>
        </w:rPr>
        <w:t>25</w:t>
      </w:r>
      <w:r>
        <w:rPr>
          <w:rFonts w:hint="default" w:ascii="方正仿宋_GBK" w:hAnsi="方正仿宋_GBK" w:eastAsia="方正仿宋_GBK" w:cs="方正仿宋_GBK"/>
          <w:b w:val="0"/>
          <w:bCs/>
          <w:i w:val="0"/>
          <w:caps w:val="0"/>
          <w:color w:val="000000"/>
          <w:spacing w:val="0"/>
          <w:kern w:val="0"/>
          <w:sz w:val="32"/>
          <w:szCs w:val="32"/>
          <w:shd w:val="clear" w:fill="FFFFFF"/>
          <w:lang w:val="en-US" w:eastAsia="zh-CN" w:bidi="ar"/>
        </w:rPr>
        <w:t>日</w:t>
      </w:r>
    </w:p>
    <w:bookmarkEnd w:id="0"/>
    <w:p w14:paraId="74F2A54B">
      <w:pPr>
        <w:numPr>
          <w:ilvl w:val="0"/>
          <w:numId w:val="0"/>
        </w:numPr>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pPr>
      <w:bookmarkStart w:id="5" w:name="OLE_LINK16"/>
    </w:p>
    <w:p w14:paraId="48352C77">
      <w:pPr>
        <w:numPr>
          <w:ilvl w:val="0"/>
          <w:numId w:val="0"/>
        </w:numPr>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pPr>
      <w:r>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t>附件一：</w:t>
      </w:r>
      <w:bookmarkStart w:id="6" w:name="OLE_LINK7"/>
      <w:r>
        <w:rPr>
          <w:rFonts w:hint="eastAsia" w:ascii="方正小标宋_GBK" w:hAnsi="方正小标宋_GBK" w:eastAsia="方正小标宋_GBK" w:cs="方正小标宋_GBK"/>
          <w:i w:val="0"/>
          <w:caps w:val="0"/>
          <w:color w:val="000000"/>
          <w:spacing w:val="0"/>
          <w:kern w:val="0"/>
          <w:sz w:val="32"/>
          <w:szCs w:val="32"/>
          <w:shd w:val="clear" w:color="auto" w:fill="FFFFFF"/>
          <w:lang w:val="en-US" w:eastAsia="zh-CN" w:bidi="ar"/>
        </w:rPr>
        <w:t>空置商业资产招租一览表</w:t>
      </w:r>
    </w:p>
    <w:bookmarkEnd w:id="5"/>
    <w:bookmarkEnd w:id="6"/>
    <w:tbl>
      <w:tblPr>
        <w:tblStyle w:val="2"/>
        <w:tblW w:w="10890" w:type="dxa"/>
        <w:tblInd w:w="-112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175"/>
        <w:gridCol w:w="1110"/>
        <w:gridCol w:w="1230"/>
        <w:gridCol w:w="1500"/>
        <w:gridCol w:w="1005"/>
        <w:gridCol w:w="780"/>
        <w:gridCol w:w="1365"/>
        <w:gridCol w:w="1080"/>
      </w:tblGrid>
      <w:tr w14:paraId="37338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3"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F86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2CDE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坐落地址</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FE9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楼层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3F6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建筑面积（㎡）</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675AB">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挂网招租单价（元/㎡˙月）</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BBDE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年租金（元）</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352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租赁期限</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188ED">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竞租保证金（元）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3C449">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备注</w:t>
            </w:r>
          </w:p>
        </w:tc>
      </w:tr>
      <w:tr w14:paraId="30365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1"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A7E9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bookmarkStart w:id="7" w:name="OLE_LINK15" w:colFirst="1" w:colLast="8"/>
            <w:bookmarkStart w:id="8" w:name="OLE_LINK13" w:colFirst="1" w:colLast="1"/>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B762">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垫江县桂溪街道桂阳路66号1幢2-商业（区域1）</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EA2B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临街二层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81A1">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816.94</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B71C">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5.7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2043">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55879.00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1E1E">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4D456">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6000.00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4E3EF">
            <w:pPr>
              <w:keepNext w:val="0"/>
              <w:keepLines w:val="0"/>
              <w:pageBreakBefore w:val="0"/>
              <w:widowControl w:val="0"/>
              <w:numPr>
                <w:ilvl w:val="0"/>
                <w:numId w:val="0"/>
              </w:numPr>
              <w:kinsoku/>
              <w:wordWrap/>
              <w:overflowPunct/>
              <w:topLinePunct w:val="0"/>
              <w:autoSpaceDE/>
              <w:autoSpaceDN/>
              <w:bidi w:val="0"/>
              <w:adjustRightInd/>
              <w:snapToGrid/>
              <w:spacing w:line="0" w:lineRule="atLeast"/>
              <w:ind w:left="0" w:leftChars="0" w:firstLine="0" w:firstLineChars="0"/>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三合苑二期</w:t>
            </w:r>
          </w:p>
        </w:tc>
      </w:tr>
      <w:bookmarkEnd w:id="7"/>
      <w:tr w14:paraId="33E65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9"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43A9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C30FD">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垫江县桂溪街道桂阳路66号1幢2-商业（区域2）</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D587F">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临街二层</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63D5">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110.16</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8F33">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5.7</w:t>
            </w:r>
          </w:p>
        </w:tc>
        <w:tc>
          <w:tcPr>
            <w:tcW w:w="10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4439A">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7535.00</w:t>
            </w:r>
          </w:p>
        </w:tc>
        <w:tc>
          <w:tcPr>
            <w:tcW w:w="7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52AC">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三年</w:t>
            </w:r>
          </w:p>
        </w:tc>
        <w:tc>
          <w:tcPr>
            <w:tcW w:w="13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9E0A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1000.00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188D7">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center"/>
              <w:textAlignment w:val="auto"/>
              <w:rPr>
                <w:rFonts w:hint="default"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pPr>
            <w:r>
              <w:rPr>
                <w:rFonts w:hint="eastAsia" w:ascii="方正仿宋_GBK" w:hAnsi="方正仿宋_GBK" w:eastAsia="方正仿宋_GBK" w:cs="方正仿宋_GBK"/>
                <w:i w:val="0"/>
                <w:caps w:val="0"/>
                <w:color w:val="000000"/>
                <w:spacing w:val="0"/>
                <w:kern w:val="0"/>
                <w:sz w:val="21"/>
                <w:szCs w:val="21"/>
                <w:shd w:val="clear" w:color="auto" w:fill="FFFFFF"/>
                <w:vertAlign w:val="baseline"/>
                <w:lang w:val="en-US" w:eastAsia="zh-CN" w:bidi="ar"/>
              </w:rPr>
              <w:t>三合苑二期</w:t>
            </w:r>
          </w:p>
        </w:tc>
      </w:tr>
      <w:bookmarkEnd w:id="1"/>
      <w:bookmarkEnd w:id="8"/>
    </w:tbl>
    <w:p w14:paraId="6576716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7424045"/>
    <w:rsid w:val="17424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7</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2025-03-25T11:35:00Z</dcterms:created>
  <dc:creator>雨后彩虹</dc:creator>
  <cp:lastModifiedBy>雨后彩虹</cp:lastModifiedBy>
  <dcterms:modified xsi:type="dcterms:W3CDTF">2025-03-25T11:43:28Z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2D0897687DEF46E984259B782E62FF44_11</vt:lpwstr>
  </property>
  <property fmtid="{D5CDD505-2E9C-101B-9397-08002B2CF9AE}" pid="4" name="KSOTemplateDocerSaveRecord">
    <vt:lpwstr>eyJoZGlkIjoiMWE3ZWVjYzU5ZGIwOTU0NjU2ZTk5NGIzZDMwNmMxNDYiLCJ1c2VySWQiOiI3MTg3MTM1MjYifQ==</vt:lpwstr>
  </property>
</Properties>
</file>